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AECC" w14:textId="75354810" w:rsidR="00D64BA0" w:rsidRPr="00D64BA0" w:rsidRDefault="00D64BA0" w:rsidP="00D64BA0">
      <w:pPr>
        <w:pStyle w:val="ShiftCtrlAlt"/>
        <w:jc w:val="right"/>
        <w:rPr>
          <w:b w:val="0"/>
          <w:bCs w:val="0"/>
          <w:i/>
          <w:iCs/>
          <w:lang w:val="uk-UA"/>
        </w:rPr>
      </w:pPr>
      <w:r w:rsidRPr="00D64BA0">
        <w:rPr>
          <w:b w:val="0"/>
          <w:bCs w:val="0"/>
          <w:i/>
          <w:iCs/>
          <w:lang w:val="uk-UA"/>
        </w:rPr>
        <w:t>Додаток</w:t>
      </w:r>
    </w:p>
    <w:p w14:paraId="3E69547B" w14:textId="0C830489" w:rsidR="00D64BA0" w:rsidRPr="00D64BA0" w:rsidRDefault="00D64BA0" w:rsidP="00D64BA0">
      <w:pPr>
        <w:pStyle w:val="ShiftCtrlAlt"/>
      </w:pPr>
      <w:r w:rsidRPr="00D64BA0">
        <w:rPr>
          <w:lang w:val="uk-UA"/>
        </w:rPr>
        <w:t>Документація для обслуговування та експлуатації електроустановок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236"/>
      </w:tblGrid>
      <w:tr w:rsidR="00D64BA0" w:rsidRPr="00441AE9" w14:paraId="104A0226" w14:textId="77777777" w:rsidTr="00D64BA0">
        <w:tc>
          <w:tcPr>
            <w:tcW w:w="3115" w:type="dxa"/>
          </w:tcPr>
          <w:p w14:paraId="69DAC5A1" w14:textId="77777777" w:rsidR="00D64BA0" w:rsidRPr="00EF45A2" w:rsidRDefault="00D64BA0" w:rsidP="00EF45A2">
            <w:pPr>
              <w:pStyle w:val="ShiftCtrlAlt1"/>
              <w:rPr>
                <w:lang w:val="uk-UA"/>
              </w:rPr>
            </w:pPr>
            <w:r w:rsidRPr="00EF45A2">
              <w:rPr>
                <w:lang w:val="uk-UA"/>
              </w:rPr>
              <w:t>Назва</w:t>
            </w:r>
          </w:p>
        </w:tc>
        <w:tc>
          <w:tcPr>
            <w:tcW w:w="6236" w:type="dxa"/>
          </w:tcPr>
          <w:p w14:paraId="08DC8E41" w14:textId="77777777" w:rsidR="00D64BA0" w:rsidRPr="00EF45A2" w:rsidRDefault="00D64BA0" w:rsidP="00EF45A2">
            <w:pPr>
              <w:pStyle w:val="ShiftCtrlAlt1"/>
              <w:rPr>
                <w:lang w:val="uk-UA"/>
              </w:rPr>
            </w:pPr>
            <w:r w:rsidRPr="00EF45A2">
              <w:rPr>
                <w:lang w:val="uk-UA"/>
              </w:rPr>
              <w:t>Види документів</w:t>
            </w:r>
          </w:p>
        </w:tc>
      </w:tr>
      <w:tr w:rsidR="00D64BA0" w:rsidRPr="00441AE9" w14:paraId="68B0D7AD" w14:textId="77777777" w:rsidTr="00D64BA0">
        <w:tc>
          <w:tcPr>
            <w:tcW w:w="3115" w:type="dxa"/>
          </w:tcPr>
          <w:p w14:paraId="02411791" w14:textId="77777777" w:rsidR="00D64BA0" w:rsidRPr="00EF45A2" w:rsidRDefault="00D64BA0" w:rsidP="00EF45A2">
            <w:pPr>
              <w:pStyle w:val="ShiftCtrlAlt0"/>
              <w:rPr>
                <w:lang w:val="uk-UA"/>
              </w:rPr>
            </w:pPr>
            <w:r w:rsidRPr="00EF45A2">
              <w:rPr>
                <w:lang w:val="uk-UA"/>
              </w:rPr>
              <w:t>Технічна документація</w:t>
            </w:r>
          </w:p>
        </w:tc>
        <w:tc>
          <w:tcPr>
            <w:tcW w:w="6236" w:type="dxa"/>
          </w:tcPr>
          <w:p w14:paraId="1631CC27" w14:textId="77777777" w:rsidR="00D64BA0" w:rsidRPr="00441AE9" w:rsidRDefault="00D64BA0" w:rsidP="00EF45A2">
            <w:pPr>
              <w:pStyle w:val="a"/>
            </w:pPr>
            <w:proofErr w:type="spellStart"/>
            <w:r w:rsidRPr="00441AE9">
              <w:t>Проєктна</w:t>
            </w:r>
            <w:proofErr w:type="spellEnd"/>
            <w:r w:rsidRPr="00441AE9">
              <w:t xml:space="preserve"> документація (креслення, пояснювальні записки тощо) з усіма змінами</w:t>
            </w:r>
          </w:p>
          <w:p w14:paraId="0F71A9AC" w14:textId="77777777" w:rsidR="00D64BA0" w:rsidRPr="00441AE9" w:rsidRDefault="00D64BA0" w:rsidP="00EF45A2">
            <w:pPr>
              <w:pStyle w:val="a"/>
            </w:pPr>
            <w:r w:rsidRPr="00441AE9">
              <w:t xml:space="preserve">Однолінійні схеми первинних і вторинних електричних з’єднань усіх </w:t>
            </w:r>
            <w:proofErr w:type="spellStart"/>
            <w:r w:rsidRPr="00441AE9">
              <w:t>напруг</w:t>
            </w:r>
            <w:proofErr w:type="spellEnd"/>
            <w:r w:rsidRPr="00441AE9">
              <w:t xml:space="preserve"> для нормальних режимів роботи електрообладнання</w:t>
            </w:r>
          </w:p>
          <w:p w14:paraId="1686EA21" w14:textId="77777777" w:rsidR="00D64BA0" w:rsidRPr="00441AE9" w:rsidRDefault="00D64BA0" w:rsidP="00EF45A2">
            <w:pPr>
              <w:pStyle w:val="a"/>
            </w:pPr>
            <w:r w:rsidRPr="00441AE9">
              <w:t>Акти випробувань та вимірювань електроустановок</w:t>
            </w:r>
          </w:p>
          <w:p w14:paraId="50D0A1C5" w14:textId="77777777" w:rsidR="00D64BA0" w:rsidRPr="00441AE9" w:rsidRDefault="00D64BA0" w:rsidP="00EF45A2">
            <w:pPr>
              <w:pStyle w:val="a"/>
            </w:pPr>
            <w:r w:rsidRPr="00441AE9">
              <w:t>Акти прийняття електроустановок в експлуатацію, виконавчі схеми первинних і вторинних електричних з’єднань</w:t>
            </w:r>
          </w:p>
          <w:p w14:paraId="6EDADBBB" w14:textId="77777777" w:rsidR="00D64BA0" w:rsidRPr="00441AE9" w:rsidRDefault="00D64BA0" w:rsidP="00EF45A2">
            <w:pPr>
              <w:pStyle w:val="a"/>
            </w:pPr>
            <w:r w:rsidRPr="00441AE9">
              <w:t>Акти розмежування електричних мереж за </w:t>
            </w:r>
            <w:hyperlink r:id="rId10" w:tgtFrame="_blank" w:tooltip="Як визначити межу балансової належності та експлуатаційної відповідальності" w:history="1">
              <w:r w:rsidRPr="00441AE9">
                <w:t>балансовою належністю та експлуатаційною відповідальністю</w:t>
              </w:r>
            </w:hyperlink>
            <w:r w:rsidRPr="00441AE9">
              <w:t xml:space="preserve"> між</w:t>
            </w:r>
            <w:r>
              <w:t> </w:t>
            </w:r>
            <w:r w:rsidRPr="00441AE9">
              <w:t>споживачем і електропередавальною організацією</w:t>
            </w:r>
          </w:p>
          <w:p w14:paraId="5D2C749E" w14:textId="393607B1" w:rsidR="00D64BA0" w:rsidRPr="00441AE9" w:rsidRDefault="00D64BA0" w:rsidP="00EF45A2">
            <w:pPr>
              <w:pStyle w:val="a"/>
            </w:pPr>
            <w:r w:rsidRPr="00441AE9">
              <w:t>Технічні паспорти основного електрообладнання, будівель і споруд об’єктів</w:t>
            </w:r>
            <w:r w:rsidR="00B13049">
              <w:t>;</w:t>
            </w:r>
            <w:r w:rsidRPr="00441AE9">
              <w:t xml:space="preserve"> сертифікати на електрообладнання і матеріали, що підлягають сертифікації</w:t>
            </w:r>
          </w:p>
          <w:p w14:paraId="0D82A998" w14:textId="77777777" w:rsidR="00D64BA0" w:rsidRPr="00441AE9" w:rsidRDefault="00D64BA0" w:rsidP="00EF45A2">
            <w:pPr>
              <w:pStyle w:val="a"/>
            </w:pPr>
            <w:r w:rsidRPr="00441AE9">
              <w:t>Інструкції з експлуатації електроустановок</w:t>
            </w:r>
          </w:p>
        </w:tc>
      </w:tr>
      <w:tr w:rsidR="00D64BA0" w:rsidRPr="00441AE9" w14:paraId="5BE117EC" w14:textId="77777777" w:rsidTr="00D64BA0">
        <w:tc>
          <w:tcPr>
            <w:tcW w:w="3115" w:type="dxa"/>
          </w:tcPr>
          <w:p w14:paraId="634EEF2C" w14:textId="77777777" w:rsidR="00D64BA0" w:rsidRPr="00EF45A2" w:rsidRDefault="00D64BA0" w:rsidP="00EF45A2">
            <w:pPr>
              <w:pStyle w:val="ShiftCtrlAlt0"/>
              <w:rPr>
                <w:lang w:val="uk-UA"/>
              </w:rPr>
            </w:pPr>
            <w:r w:rsidRPr="00EF45A2">
              <w:rPr>
                <w:lang w:val="uk-UA"/>
              </w:rPr>
              <w:t>Документи для</w:t>
            </w:r>
            <w:r>
              <w:t> </w:t>
            </w:r>
            <w:r w:rsidRPr="00EF45A2">
              <w:rPr>
                <w:lang w:val="uk-UA"/>
              </w:rPr>
              <w:t>структурного підрозділу підприємства або самостійної виробничої дільниці</w:t>
            </w:r>
          </w:p>
        </w:tc>
        <w:tc>
          <w:tcPr>
            <w:tcW w:w="6236" w:type="dxa"/>
          </w:tcPr>
          <w:p w14:paraId="663A5754" w14:textId="77777777" w:rsidR="00D64BA0" w:rsidRPr="00441AE9" w:rsidRDefault="00D64BA0" w:rsidP="00EF45A2">
            <w:pPr>
              <w:pStyle w:val="a"/>
            </w:pPr>
            <w:r w:rsidRPr="00441AE9">
              <w:t>Паспортні карти або журнали з переписом електроустановок і засобів захисту.</w:t>
            </w:r>
            <w:r w:rsidRPr="00441AE9" w:rsidDel="004F1E4F">
              <w:t xml:space="preserve"> </w:t>
            </w:r>
            <w:r w:rsidRPr="00441AE9">
              <w:t>Зазначте їхні технічні дані та присвоєні їм інвентарні номери. До паспортних карт або журналів додайте протоколи та акти випробувань, ремонту й ревізії обладнання</w:t>
            </w:r>
          </w:p>
          <w:p w14:paraId="67352461" w14:textId="56BE06B1" w:rsidR="00D64BA0" w:rsidRPr="00441AE9" w:rsidRDefault="00D64BA0" w:rsidP="00EF45A2">
            <w:pPr>
              <w:pStyle w:val="a"/>
            </w:pPr>
            <w:r w:rsidRPr="00441AE9">
              <w:t>Креслення електрообладнання, електроустановок і споруд</w:t>
            </w:r>
            <w:r w:rsidR="00B13049">
              <w:t>;</w:t>
            </w:r>
            <w:r w:rsidRPr="00441AE9">
              <w:t xml:space="preserve"> комплекти креслень запасних частин</w:t>
            </w:r>
          </w:p>
          <w:p w14:paraId="7CC18888" w14:textId="77777777" w:rsidR="00D64BA0" w:rsidRPr="00441AE9" w:rsidRDefault="00D64BA0" w:rsidP="00EF45A2">
            <w:pPr>
              <w:pStyle w:val="a"/>
            </w:pPr>
            <w:r w:rsidRPr="00441AE9">
              <w:t>Виконавчі креслення трас повітряних і кабельних ліній, кабельні журнали</w:t>
            </w:r>
          </w:p>
          <w:p w14:paraId="279FCDCE" w14:textId="77777777" w:rsidR="00D64BA0" w:rsidRPr="00441AE9" w:rsidRDefault="00D64BA0" w:rsidP="00EF45A2">
            <w:pPr>
              <w:pStyle w:val="a"/>
            </w:pPr>
            <w:r w:rsidRPr="00441AE9">
              <w:t>Креслення підземних кабельних трас і заземлювальних пристроїв з прив’язками до будівель і постійних споруд.</w:t>
            </w:r>
            <w:r w:rsidRPr="00441AE9" w:rsidDel="004F1E4F">
              <w:t xml:space="preserve"> </w:t>
            </w:r>
            <w:r w:rsidRPr="00441AE9">
              <w:t>Зазначте місця установлення з’єднувальних муфт кабелів і перетинів їх з іншими комунікаціями</w:t>
            </w:r>
          </w:p>
          <w:p w14:paraId="38A7302D" w14:textId="77777777" w:rsidR="00D64BA0" w:rsidRPr="00441AE9" w:rsidRDefault="00D64BA0" w:rsidP="00EF45A2">
            <w:pPr>
              <w:pStyle w:val="a"/>
            </w:pPr>
            <w:r w:rsidRPr="00441AE9">
              <w:t>Загальні схеми електропостачання, складені для</w:t>
            </w:r>
            <w:r>
              <w:t> </w:t>
            </w:r>
            <w:r w:rsidRPr="00441AE9">
              <w:t xml:space="preserve">споживача загалом та для окремих </w:t>
            </w:r>
            <w:proofErr w:type="spellStart"/>
            <w:r w:rsidRPr="00441AE9">
              <w:t>цехів</w:t>
            </w:r>
            <w:proofErr w:type="spellEnd"/>
            <w:r w:rsidRPr="00441AE9">
              <w:t xml:space="preserve"> і дільниць</w:t>
            </w:r>
          </w:p>
          <w:p w14:paraId="00F00E1C" w14:textId="77777777" w:rsidR="00D64BA0" w:rsidRPr="00441AE9" w:rsidRDefault="00D64BA0" w:rsidP="00EF45A2">
            <w:pPr>
              <w:pStyle w:val="a"/>
            </w:pPr>
            <w:r w:rsidRPr="00441AE9">
              <w:t>Експлуатаційні інструкції з обслуговування електроустановок цеху, дільниці</w:t>
            </w:r>
          </w:p>
          <w:p w14:paraId="145A00E5" w14:textId="77777777" w:rsidR="00D64BA0" w:rsidRPr="00441AE9" w:rsidRDefault="00D64BA0" w:rsidP="00EF45A2">
            <w:pPr>
              <w:pStyle w:val="a"/>
            </w:pPr>
            <w:r w:rsidRPr="00441AE9">
              <w:t>Акти або письмові розпорядження керівника споживача про розмежування електричних мереж за балансовою належністю і експлуатаційною відповідальністю між</w:t>
            </w:r>
            <w:r>
              <w:t> </w:t>
            </w:r>
            <w:r w:rsidRPr="00441AE9">
              <w:t>структурними підрозділами</w:t>
            </w:r>
          </w:p>
        </w:tc>
      </w:tr>
      <w:tr w:rsidR="00D64BA0" w:rsidRPr="00441AE9" w14:paraId="25E4DE77" w14:textId="77777777" w:rsidTr="00D64BA0">
        <w:tc>
          <w:tcPr>
            <w:tcW w:w="3115" w:type="dxa"/>
          </w:tcPr>
          <w:p w14:paraId="655FB00E" w14:textId="77777777" w:rsidR="00D64BA0" w:rsidRPr="00EF45A2" w:rsidRDefault="00D64BA0" w:rsidP="00EF45A2">
            <w:pPr>
              <w:pStyle w:val="ShiftCtrlAlt0"/>
              <w:rPr>
                <w:lang w:val="uk-UA"/>
              </w:rPr>
            </w:pPr>
            <w:r w:rsidRPr="00EF45A2">
              <w:rPr>
                <w:lang w:val="uk-UA"/>
              </w:rPr>
              <w:t>Інші документи</w:t>
            </w:r>
          </w:p>
        </w:tc>
        <w:tc>
          <w:tcPr>
            <w:tcW w:w="6236" w:type="dxa"/>
          </w:tcPr>
          <w:p w14:paraId="22F20039" w14:textId="77777777" w:rsidR="00D64BA0" w:rsidRPr="00441AE9" w:rsidRDefault="00B13049" w:rsidP="00EF45A2">
            <w:pPr>
              <w:pStyle w:val="a"/>
            </w:pPr>
            <w:hyperlink r:id="rId11" w:tgtFrame="_blank" w:tooltip="Посадова інструкція відповідального за електрогосподарство" w:history="1">
              <w:r w:rsidR="00D64BA0" w:rsidRPr="00441AE9">
                <w:t>Посадові інструкції</w:t>
              </w:r>
            </w:hyperlink>
          </w:p>
          <w:p w14:paraId="38FF5D34" w14:textId="77777777" w:rsidR="00D64BA0" w:rsidRPr="00441AE9" w:rsidRDefault="00D64BA0" w:rsidP="00EF45A2">
            <w:pPr>
              <w:pStyle w:val="a"/>
            </w:pPr>
            <w:r w:rsidRPr="00441AE9">
              <w:t>Інструкції з охорони праці та пожежної безпеки на кожному робочому місці</w:t>
            </w:r>
          </w:p>
          <w:p w14:paraId="37A76D35" w14:textId="77777777" w:rsidR="00D64BA0" w:rsidRPr="00441AE9" w:rsidRDefault="00B13049" w:rsidP="00EF45A2">
            <w:pPr>
              <w:pStyle w:val="a"/>
            </w:pPr>
            <w:hyperlink r:id="rId12" w:tgtFrame="_blank" w:tooltip="Програма навчання з електробезпеки для посадових осіб" w:history="1">
              <w:r w:rsidR="00D64BA0" w:rsidRPr="00441AE9">
                <w:t>Програми підготовки</w:t>
              </w:r>
            </w:hyperlink>
            <w:r w:rsidR="00D64BA0" w:rsidRPr="00441AE9">
              <w:t xml:space="preserve"> працівників</w:t>
            </w:r>
          </w:p>
          <w:p w14:paraId="2D155183" w14:textId="77777777" w:rsidR="00D64BA0" w:rsidRPr="00441AE9" w:rsidRDefault="00D64BA0" w:rsidP="00EF45A2">
            <w:pPr>
              <w:pStyle w:val="a"/>
            </w:pPr>
            <w:r w:rsidRPr="00441AE9">
              <w:t>Договори про постачання електроенергії, договори про спільне використання технологічних електричних мереж</w:t>
            </w:r>
          </w:p>
        </w:tc>
      </w:tr>
    </w:tbl>
    <w:p w14:paraId="44C27755" w14:textId="77777777" w:rsidR="00D64BA0" w:rsidRDefault="00D64BA0" w:rsidP="00D64BA0">
      <w:pPr>
        <w:pStyle w:val="Ctrl"/>
      </w:pPr>
    </w:p>
    <w:p w14:paraId="57A97FA3" w14:textId="0990CEB9" w:rsidR="00156897" w:rsidRPr="00D64BA0" w:rsidRDefault="00D64BA0" w:rsidP="00D64BA0">
      <w:pPr>
        <w:pStyle w:val="Ctrl"/>
        <w:rPr>
          <w:rFonts w:eastAsiaTheme="minorEastAsia"/>
        </w:rPr>
      </w:pPr>
      <w:r w:rsidRPr="00441AE9">
        <w:t xml:space="preserve">Підстава </w:t>
      </w:r>
      <w:r w:rsidRPr="00441AE9">
        <w:rPr>
          <w:rFonts w:eastAsiaTheme="minorEastAsia" w:cs="Times New Roman"/>
        </w:rPr>
        <w:t>—</w:t>
      </w:r>
      <w:r w:rsidRPr="00441AE9">
        <w:t xml:space="preserve"> пункти 3.1</w:t>
      </w:r>
      <w:r w:rsidRPr="00441AE9">
        <w:rPr>
          <w:rFonts w:cs="Times New Roman"/>
        </w:rPr>
        <w:t>—</w:t>
      </w:r>
      <w:r w:rsidRPr="00441AE9">
        <w:t>3.2 розділу IV ПТЕЕС.</w:t>
      </w:r>
    </w:p>
    <w:sectPr w:rsidR="00156897" w:rsidRPr="00D64BA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6217" w14:textId="77777777" w:rsidR="00B13049" w:rsidRDefault="00B13049" w:rsidP="00B13049">
      <w:r>
        <w:separator/>
      </w:r>
    </w:p>
  </w:endnote>
  <w:endnote w:type="continuationSeparator" w:id="0">
    <w:p w14:paraId="216B5D2E" w14:textId="77777777" w:rsidR="00B13049" w:rsidRDefault="00B13049" w:rsidP="00B1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EA87" w14:textId="77777777" w:rsidR="00B13049" w:rsidRDefault="00B13049" w:rsidP="00B13049">
      <w:r>
        <w:separator/>
      </w:r>
    </w:p>
  </w:footnote>
  <w:footnote w:type="continuationSeparator" w:id="0">
    <w:p w14:paraId="6DA1FD33" w14:textId="77777777" w:rsidR="00B13049" w:rsidRDefault="00B13049" w:rsidP="00B1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BDD" w14:textId="4176FDA0" w:rsidR="00B13049" w:rsidRPr="00B13049" w:rsidRDefault="00B13049" w:rsidP="00B13049">
    <w:pPr>
      <w:tabs>
        <w:tab w:val="center" w:pos="4677"/>
        <w:tab w:val="right" w:pos="9355"/>
      </w:tabs>
      <w:spacing w:after="160" w:line="259" w:lineRule="auto"/>
      <w:rPr>
        <w:rFonts w:eastAsia="Times New Roman"/>
        <w:sz w:val="22"/>
        <w:szCs w:val="22"/>
        <w:lang w:val="uk-UA" w:eastAsia="ru-RU"/>
      </w:rPr>
    </w:pPr>
    <w:r w:rsidRPr="00B13049">
      <w:rPr>
        <w:rFonts w:eastAsia="Calibri"/>
        <w:color w:val="D9D9D9"/>
        <w:sz w:val="20"/>
        <w:szCs w:val="20"/>
        <w:lang w:val="uk-UA" w:eastAsia="zh-CN"/>
      </w:rPr>
      <w:t>«Довідник спеціаліста з охорони праці» esop.expertus.com.ua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3750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5F"/>
    <w:rsid w:val="00150960"/>
    <w:rsid w:val="001B14FD"/>
    <w:rsid w:val="003D4C84"/>
    <w:rsid w:val="0092395F"/>
    <w:rsid w:val="00B13049"/>
    <w:rsid w:val="00D64BA0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5EE8"/>
  <w15:chartTrackingRefBased/>
  <w15:docId w15:val="{669074F8-CB66-4248-8554-A71ED95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4B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D64BA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заголовок (Таблица__Shift+Ctrl_Alt)"/>
    <w:uiPriority w:val="99"/>
    <w:rsid w:val="00D64BA0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D64BA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D64BA0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0"/>
    <w:uiPriority w:val="99"/>
    <w:rsid w:val="00D64BA0"/>
    <w:pPr>
      <w:numPr>
        <w:numId w:val="1"/>
      </w:numPr>
      <w:ind w:left="510" w:hanging="170"/>
    </w:pPr>
    <w:rPr>
      <w:lang w:val="uk-UA"/>
    </w:rPr>
  </w:style>
  <w:style w:type="paragraph" w:styleId="a4">
    <w:name w:val="header"/>
    <w:basedOn w:val="a0"/>
    <w:link w:val="a5"/>
    <w:uiPriority w:val="99"/>
    <w:unhideWhenUsed/>
    <w:rsid w:val="00B13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13049"/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6">
    <w:name w:val="footer"/>
    <w:basedOn w:val="a0"/>
    <w:link w:val="a7"/>
    <w:uiPriority w:val="99"/>
    <w:unhideWhenUsed/>
    <w:rsid w:val="00B130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13049"/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.expertus.com.ua/forms/19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xpertus.com.ua/forms/328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p.expertus.com.ua/recommendations/13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9DD1D-C7CE-4D3B-8DE2-6E7C405FDF1E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72FB0DA6-C42F-4DEC-A879-1E8E10826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175F8-2F8C-4EA1-80A6-79086286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3</cp:revision>
  <dcterms:created xsi:type="dcterms:W3CDTF">2022-11-18T08:20:00Z</dcterms:created>
  <dcterms:modified xsi:type="dcterms:W3CDTF">2022-12-06T11:30:00Z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